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4D19" w14:textId="761A30C5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21599D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21599D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</w:t>
      </w:r>
      <w:bookmarkStart w:id="0" w:name="_GoBack"/>
      <w:bookmarkEnd w:id="0"/>
      <w:r w:rsidRPr="000D6BD6">
        <w:t xml:space="preserve">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62AA4476" w14:textId="77777777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 xml:space="preserve">ся в один тур. </w:t>
      </w:r>
    </w:p>
    <w:p w14:paraId="4E8A46AD" w14:textId="6070A906" w:rsidR="00A350D6" w:rsidRPr="005D7667" w:rsidRDefault="000D6BD6" w:rsidP="005D7667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Продолжительность олимпиады</w:t>
      </w:r>
      <w:r w:rsidR="005D766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2 </w:t>
      </w:r>
      <w:r w:rsidR="005D7667">
        <w:rPr>
          <w:rFonts w:ascii="Times New Roman" w:hAnsi="Times New Roman" w:cs="Times New Roman"/>
          <w:b/>
          <w:sz w:val="24"/>
          <w:szCs w:val="24"/>
        </w:rPr>
        <w:t>часа.</w:t>
      </w:r>
    </w:p>
    <w:p w14:paraId="7724BE1A" w14:textId="68137C09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 xml:space="preserve"> 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14:paraId="5E66409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14:paraId="46B903A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06AD223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CB0687">
      <w:pPr>
        <w:spacing w:after="100" w:afterAutospacing="1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83F88"/>
    <w:rsid w:val="000D6BD6"/>
    <w:rsid w:val="00124CA5"/>
    <w:rsid w:val="0021599D"/>
    <w:rsid w:val="002332E6"/>
    <w:rsid w:val="003765D7"/>
    <w:rsid w:val="003A05C9"/>
    <w:rsid w:val="003F74E2"/>
    <w:rsid w:val="00597A1A"/>
    <w:rsid w:val="005D5453"/>
    <w:rsid w:val="005D7667"/>
    <w:rsid w:val="008C2370"/>
    <w:rsid w:val="009A717B"/>
    <w:rsid w:val="00A350D6"/>
    <w:rsid w:val="00AC0225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DF888-144E-4C4F-A00C-ECA6F5B2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17</cp:revision>
  <dcterms:created xsi:type="dcterms:W3CDTF">2016-11-07T12:02:00Z</dcterms:created>
  <dcterms:modified xsi:type="dcterms:W3CDTF">2023-11-09T07:03:00Z</dcterms:modified>
</cp:coreProperties>
</file>